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6CE" w14:textId="5E87ED65" w:rsidR="00011BEB" w:rsidRDefault="00DD0ABA" w:rsidP="001F2EB8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6C5604">
        <w:rPr>
          <w:rFonts w:ascii="FrankRuehl" w:hAnsi="FrankRuehl" w:cs="FrankRuehl" w:hint="cs"/>
          <w:sz w:val="36"/>
          <w:szCs w:val="36"/>
          <w:rtl/>
        </w:rPr>
        <w:t xml:space="preserve">תרגיל </w:t>
      </w:r>
      <w:r w:rsidR="001F2EB8">
        <w:rPr>
          <w:rFonts w:ascii="FrankRuehl" w:hAnsi="FrankRuehl" w:cs="FrankRuehl" w:hint="cs"/>
          <w:sz w:val="36"/>
          <w:szCs w:val="36"/>
          <w:rtl/>
        </w:rPr>
        <w:t>7</w:t>
      </w:r>
    </w:p>
    <w:p w14:paraId="58FD9D7B" w14:textId="77777777" w:rsidR="002B5AF1" w:rsidRPr="002B5AF1" w:rsidRDefault="002B5AF1" w:rsidP="002B5AF1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710C2229" w14:textId="76ACBE15" w:rsidR="00F319CD" w:rsidRPr="00F319CD" w:rsidRDefault="00F319CD" w:rsidP="00F319CD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השלימו את התאמת </w:t>
      </w:r>
      <w:proofErr w:type="spellStart"/>
      <w:r>
        <w:rPr>
          <w:rFonts w:ascii="FrankRuehl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hAnsi="FrankRuehl" w:cs="FrankRuehl" w:hint="cs"/>
          <w:sz w:val="24"/>
          <w:szCs w:val="24"/>
          <w:rtl/>
        </w:rPr>
        <w:t xml:space="preserve"> עבור שדה הפיצול של </w:t>
      </w:r>
      <m:oMath>
        <m:sSup>
          <m:sSup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FrankRuehl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FrankRuehl"/>
            <w:sz w:val="24"/>
            <w:szCs w:val="24"/>
          </w:rPr>
          <m:t>+3</m:t>
        </m:r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שהתחלנו בכיתה. כתבו את התאמת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עבור הפולינום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-7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(שגם את 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שלו חישבנו באחד השיעורים האחרונים). </w:t>
      </w:r>
      <w:r>
        <w:rPr>
          <w:rFonts w:ascii="FrankRuehl" w:eastAsiaTheme="minorEastAsia" w:hAnsi="FrankRuehl" w:cs="FrankRuehl"/>
          <w:sz w:val="24"/>
          <w:szCs w:val="24"/>
          <w:rtl/>
        </w:rPr>
        <w:br/>
      </w:r>
      <w:r>
        <w:rPr>
          <w:rFonts w:ascii="FrankRuehl" w:eastAsiaTheme="minorEastAsia" w:hAnsi="FrankRuehl" w:cs="FrankRuehl" w:hint="cs"/>
          <w:sz w:val="24"/>
          <w:szCs w:val="24"/>
          <w:rtl/>
        </w:rPr>
        <w:t>לכל אחד מהפולינומים, כתבו את שריג תתי-השדות ושריג תתי-החבורות וזהו בין כל תת-שדה ביניים לתת-חבורה. זהו מי הן ההרחבות הנורמליות (והבחינו שהן מתאימות לתתי-חבורות נורמליות).</w:t>
      </w:r>
    </w:p>
    <w:p w14:paraId="5C051F51" w14:textId="77777777" w:rsidR="00F319CD" w:rsidRDefault="00F319CD" w:rsidP="00F319CD">
      <w:pPr>
        <w:pStyle w:val="ListParagraph"/>
        <w:ind w:left="360"/>
        <w:rPr>
          <w:rFonts w:ascii="FrankRuehl" w:hAnsi="FrankRuehl" w:cs="FrankRuehl"/>
          <w:sz w:val="24"/>
          <w:szCs w:val="24"/>
        </w:rPr>
      </w:pPr>
    </w:p>
    <w:p w14:paraId="32CB3BA9" w14:textId="7346753A" w:rsidR="001F2EB8" w:rsidRPr="001F2EB8" w:rsidRDefault="001F2EB8" w:rsidP="001F2EB8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יהיו </w:t>
      </w: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FrankRuehl"/>
            <w:sz w:val="24"/>
            <w:szCs w:val="24"/>
          </w:rPr>
          <m:t>,g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FrankRuehl"/>
            <w:sz w:val="24"/>
            <w:szCs w:val="24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פולינומים ספרביליים אי-פריקים מתוקנים השונים זה מזה. נניח כי חיתוך שדות הפיצול שלהם טריוויאלי: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∩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=F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הוכיחו כי חבורות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 שדות הפיצול מקיימות:</w:t>
      </w:r>
    </w:p>
    <w:p w14:paraId="2D3CA2BC" w14:textId="266C8253" w:rsidR="001F2EB8" w:rsidRDefault="001F2EB8" w:rsidP="001F2EB8">
      <w:pPr>
        <w:pStyle w:val="ListParagraph"/>
        <w:ind w:left="360"/>
        <w:rPr>
          <w:rFonts w:ascii="FrankRuehl" w:eastAsiaTheme="minorEastAsia" w:hAnsi="FrankRuehl" w:cs="FrankRuehl" w:hint="cs"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fg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≅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g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 תנו דוגמה שבה הדבר אינו מתקיים, כאשר מסירים את ההנחה על חיתוך שדות הפיצול (אך יתר ההנחות נשמרות).</w:t>
      </w:r>
    </w:p>
    <w:p w14:paraId="2BD081F8" w14:textId="7916DC6F" w:rsidR="001F2EB8" w:rsidRDefault="001F2EB8" w:rsidP="001F2EB8">
      <w:pPr>
        <w:pStyle w:val="ListParagraph"/>
        <w:ind w:left="360"/>
        <w:rPr>
          <w:rFonts w:ascii="FrankRuehl" w:hAnsi="FrankRuehl" w:cs="FrankRuehl"/>
          <w:sz w:val="24"/>
          <w:szCs w:val="24"/>
        </w:rPr>
      </w:pPr>
    </w:p>
    <w:p w14:paraId="4654FD7D" w14:textId="1E4617ED" w:rsidR="001F2EB8" w:rsidRPr="003F7A28" w:rsidRDefault="00F319CD" w:rsidP="00F319CD">
      <w:pPr>
        <w:pStyle w:val="ListParagraph"/>
        <w:numPr>
          <w:ilvl w:val="0"/>
          <w:numId w:val="3"/>
        </w:numPr>
        <w:rPr>
          <w:rFonts w:ascii="FrankRuehl" w:hAnsi="FrankRuehl" w:cs="FrankRuehl" w:hint="cs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/C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sup>
            </m:sSup>
            <m:r>
              <w:rPr>
                <w:rFonts w:ascii="Cambria Math" w:hAnsi="Cambria Math" w:cs="FrankRuehl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FrankRuehl"/>
                    <w:sz w:val="24"/>
                    <w:szCs w:val="24"/>
                  </w:rPr>
                  <m:t>-k</m:t>
                </m:r>
              </m:sup>
            </m:sSup>
          </m:e>
        </m:d>
      </m:oMath>
      <w:r w:rsidR="003F7A28">
        <w:rPr>
          <w:rFonts w:ascii="FrankRuehl" w:eastAsiaTheme="minorEastAsia" w:hAnsi="FrankRuehl" w:cs="FrankRuehl" w:hint="cs"/>
          <w:sz w:val="24"/>
          <w:szCs w:val="24"/>
          <w:rtl/>
        </w:rPr>
        <w:t xml:space="preserve"> היא הרחבת </w:t>
      </w:r>
      <w:proofErr w:type="spellStart"/>
      <w:r w:rsidR="003F7A28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3F7A28">
        <w:rPr>
          <w:rFonts w:ascii="FrankRuehl" w:eastAsiaTheme="minorEastAsia" w:hAnsi="FrankRuehl" w:cs="FrankRuehl" w:hint="cs"/>
          <w:sz w:val="24"/>
          <w:szCs w:val="24"/>
          <w:rtl/>
        </w:rPr>
        <w:t xml:space="preserve"> ותארו את חבורת </w:t>
      </w:r>
      <w:proofErr w:type="spellStart"/>
      <w:r w:rsidR="003F7A28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 w:rsidR="003F7A28">
        <w:rPr>
          <w:rFonts w:ascii="FrankRuehl" w:eastAsiaTheme="minorEastAsia" w:hAnsi="FrankRuehl" w:cs="FrankRuehl" w:hint="cs"/>
          <w:sz w:val="24"/>
          <w:szCs w:val="24"/>
          <w:rtl/>
        </w:rPr>
        <w:t xml:space="preserve"> שלה.</w:t>
      </w:r>
    </w:p>
    <w:p w14:paraId="5CD55950" w14:textId="77777777" w:rsidR="003F7A28" w:rsidRDefault="003F7A28" w:rsidP="00F52CBE">
      <w:pPr>
        <w:pStyle w:val="ListParagraph"/>
        <w:ind w:left="360"/>
        <w:rPr>
          <w:rFonts w:ascii="FrankRuehl" w:hAnsi="FrankRuehl" w:cs="FrankRuehl"/>
          <w:sz w:val="24"/>
          <w:szCs w:val="24"/>
        </w:rPr>
      </w:pPr>
    </w:p>
    <w:p w14:paraId="643DFFFC" w14:textId="3A75297C" w:rsidR="00F52CBE" w:rsidRPr="00F52CBE" w:rsidRDefault="00F52CBE" w:rsidP="00F52CBE">
      <w:pPr>
        <w:pStyle w:val="ListParagraph"/>
        <w:numPr>
          <w:ilvl w:val="0"/>
          <w:numId w:val="3"/>
        </w:numPr>
        <w:rPr>
          <w:rFonts w:ascii="FrankRuehl" w:hAnsi="FrankRuehl" w:cs="FrankRuehl" w:hint="cs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p≡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3</m:t>
            </m:r>
          </m:e>
          <m:sub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mod 4</m:t>
                </m:r>
              </m:e>
            </m:d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ראשוני. הוכיחו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-p</m:t>
                </m:r>
              </m:e>
            </m:rad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⊆Q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p</m:t>
                </m:r>
              </m:sub>
            </m:sSub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291B170B" w14:textId="77777777" w:rsidR="00302CC6" w:rsidRDefault="00F52CBE" w:rsidP="00F52CBE">
      <w:pPr>
        <w:ind w:left="360"/>
        <w:rPr>
          <w:rFonts w:ascii="FrankRuehl" w:hAnsi="FrankRuehl" w:cs="FrankRuehl"/>
        </w:rPr>
      </w:pPr>
      <w:r w:rsidRPr="00F52CBE">
        <w:rPr>
          <w:rFonts w:ascii="FrankRuehl" w:hAnsi="FrankRuehl" w:cs="FrankRuehl" w:hint="cs"/>
          <w:rtl/>
        </w:rPr>
        <w:t xml:space="preserve">הדרכה: </w:t>
      </w:r>
    </w:p>
    <w:p w14:paraId="3D15378A" w14:textId="0D6305AA" w:rsidR="00302CC6" w:rsidRDefault="00302CC6" w:rsidP="00302CC6">
      <w:pPr>
        <w:pStyle w:val="ListParagraph"/>
        <w:numPr>
          <w:ilvl w:val="0"/>
          <w:numId w:val="10"/>
        </w:numPr>
        <w:rPr>
          <w:rFonts w:ascii="FrankRuehl" w:hAnsi="FrankRuehl" w:cs="FrankRuehl"/>
        </w:rPr>
      </w:pPr>
      <w:r>
        <w:rPr>
          <w:rFonts w:ascii="FrankRuehl" w:hAnsi="FrankRuehl" w:cs="FrankRuehl" w:hint="cs"/>
          <w:rtl/>
        </w:rPr>
        <w:t xml:space="preserve">הראו כי </w:t>
      </w:r>
      <m:oMath>
        <m:r>
          <m:rPr>
            <m:sty m:val="p"/>
          </m:rPr>
          <w:rPr>
            <w:rFonts w:ascii="Cambria Math" w:hAnsi="Cambria Math" w:cs="FrankRuehl"/>
          </w:rPr>
          <m:t>-1</m:t>
        </m:r>
      </m:oMath>
      <w:r>
        <w:rPr>
          <w:rFonts w:ascii="FrankRuehl" w:eastAsiaTheme="minorEastAsia" w:hAnsi="FrankRuehl" w:cs="FrankRuehl" w:hint="cs"/>
          <w:rtl/>
        </w:rPr>
        <w:t xml:space="preserve"> איננו ריבוע </w:t>
      </w:r>
      <w:proofErr w:type="spellStart"/>
      <w:r>
        <w:rPr>
          <w:rFonts w:ascii="FrankRuehl" w:eastAsiaTheme="minorEastAsia" w:hAnsi="FrankRuehl" w:cs="FrankRuehl" w:hint="cs"/>
          <w:rtl/>
        </w:rPr>
        <w:t>מודולו</w:t>
      </w:r>
      <w:proofErr w:type="spellEnd"/>
      <w:r>
        <w:rPr>
          <w:rFonts w:ascii="FrankRuehl" w:eastAsiaTheme="minorEastAsia" w:hAnsi="FrankRuehl" w:cs="FrankRuehl" w:hint="cs"/>
          <w:rtl/>
        </w:rPr>
        <w:t xml:space="preserve"> </w:t>
      </w:r>
      <m:oMath>
        <m:r>
          <w:rPr>
            <w:rFonts w:ascii="Cambria Math" w:eastAsiaTheme="minorEastAsia" w:hAnsi="Cambria Math" w:cs="FrankRuehl"/>
          </w:rPr>
          <m:t>p</m:t>
        </m:r>
      </m:oMath>
      <w:r>
        <w:rPr>
          <w:rFonts w:ascii="FrankRuehl" w:eastAsiaTheme="minorEastAsia" w:hAnsi="FrankRuehl" w:cs="FrankRuehl" w:hint="cs"/>
          <w:rtl/>
        </w:rPr>
        <w:t>.</w:t>
      </w:r>
    </w:p>
    <w:p w14:paraId="2CF221E6" w14:textId="797C5FD5" w:rsidR="00F52CBE" w:rsidRPr="00302CC6" w:rsidRDefault="00F52CBE" w:rsidP="00302CC6">
      <w:pPr>
        <w:pStyle w:val="ListParagraph"/>
        <w:numPr>
          <w:ilvl w:val="0"/>
          <w:numId w:val="10"/>
        </w:numPr>
        <w:rPr>
          <w:rFonts w:ascii="FrankRuehl" w:hAnsi="FrankRuehl" w:cs="FrankRuehl"/>
        </w:rPr>
      </w:pPr>
      <w:r w:rsidRPr="00302CC6">
        <w:rPr>
          <w:rFonts w:ascii="FrankRuehl" w:hAnsi="FrankRuehl" w:cs="FrankRuehl" w:hint="cs"/>
          <w:rtl/>
        </w:rPr>
        <w:t xml:space="preserve">הגדירו </w:t>
      </w:r>
      <m:oMath>
        <m:r>
          <w:rPr>
            <w:rFonts w:ascii="Cambria Math" w:hAnsi="Cambria Math" w:cs="FrankRuehl"/>
          </w:rPr>
          <m:t>τ</m:t>
        </m:r>
        <m:r>
          <w:rPr>
            <w:rFonts w:ascii="Cambria Math" w:hAnsi="Cambria Math" w:cs="FrankRuehl"/>
            <w:lang w:val="en-GB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FrankRuehl"/>
                <w:i/>
              </w:rPr>
            </m:ctrlPr>
          </m:naryPr>
          <m:sub>
            <m:r>
              <w:rPr>
                <w:rFonts w:ascii="Cambria Math" w:hAnsi="Cambria Math" w:cs="FrankRuehl"/>
              </w:rPr>
              <m:t>k∈</m:t>
            </m:r>
            <m:sSub>
              <m:sSubPr>
                <m:ctrlPr>
                  <w:rPr>
                    <w:rFonts w:ascii="Cambria Math" w:hAnsi="Cambria Math" w:cs="FrankRuehl"/>
                    <w:i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 w:cs="FrankRuehl"/>
                  </w:rPr>
                  <m:t>Z</m:t>
                </m:r>
              </m:e>
              <m:sub>
                <m:r>
                  <w:rPr>
                    <w:rFonts w:ascii="Cambria Math" w:hAnsi="Cambria Math" w:cs="FrankRuehl"/>
                  </w:rPr>
                  <m:t>p</m:t>
                </m:r>
              </m:sub>
            </m:sSub>
          </m:sub>
          <m:sup/>
          <m:e>
            <m:sSubSup>
              <m:sSubSupPr>
                <m:ctrlPr>
                  <w:rPr>
                    <w:rFonts w:ascii="Cambria Math" w:hAnsi="Cambria Math" w:cs="FrankRuehl"/>
                    <w:i/>
                  </w:rPr>
                </m:ctrlPr>
              </m:sSubSupPr>
              <m:e>
                <m:r>
                  <w:rPr>
                    <w:rFonts w:ascii="Cambria Math" w:hAnsi="Cambria Math" w:cs="FrankRuehl"/>
                  </w:rPr>
                  <m:t>ρ</m:t>
                </m:r>
              </m:e>
              <m:sub>
                <m:r>
                  <w:rPr>
                    <w:rFonts w:ascii="Cambria Math" w:hAnsi="Cambria Math" w:cs="FrankRuehl"/>
                  </w:rPr>
                  <m:t>p</m:t>
                </m:r>
              </m:sub>
              <m:sup>
                <m:sSup>
                  <m:sSupPr>
                    <m:ctrlPr>
                      <w:rPr>
                        <w:rFonts w:ascii="Cambria Math" w:hAnsi="Cambria Math" w:cs="FrankRueh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ankRuehl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FrankRuehl"/>
                      </w:rPr>
                      <m:t>2</m:t>
                    </m:r>
                  </m:sup>
                </m:sSup>
              </m:sup>
            </m:sSubSup>
          </m:e>
        </m:nary>
      </m:oMath>
      <w:r w:rsidRPr="00302CC6">
        <w:rPr>
          <w:rFonts w:ascii="FrankRuehl" w:eastAsiaTheme="minorEastAsia" w:hAnsi="FrankRuehl" w:cs="FrankRuehl" w:hint="cs"/>
          <w:rtl/>
        </w:rPr>
        <w:t xml:space="preserve"> </w:t>
      </w:r>
      <w:r w:rsidR="00302CC6">
        <w:rPr>
          <w:rFonts w:ascii="FrankRuehl" w:eastAsiaTheme="minorEastAsia" w:hAnsi="FrankRuehl" w:cs="FrankRuehl" w:hint="cs"/>
          <w:rtl/>
        </w:rPr>
        <w:t xml:space="preserve">בדומה למהלך מהתרגול. חשבו את </w:t>
      </w:r>
      <m:oMath>
        <m:r>
          <w:rPr>
            <w:rFonts w:ascii="Cambria Math" w:eastAsiaTheme="minorEastAsia" w:hAnsi="Cambria Math" w:cs="FrankRuehl"/>
          </w:rPr>
          <m:t>τ</m:t>
        </m:r>
        <m:acc>
          <m:accPr>
            <m:chr m:val="̅"/>
            <m:ctrlPr>
              <w:rPr>
                <w:rFonts w:ascii="Cambria Math" w:eastAsiaTheme="minorEastAsia" w:hAnsi="Cambria Math" w:cs="FrankRuehl"/>
                <w:i/>
              </w:rPr>
            </m:ctrlPr>
          </m:accPr>
          <m:e>
            <m:r>
              <w:rPr>
                <w:rFonts w:ascii="Cambria Math" w:eastAsiaTheme="minorEastAsia" w:hAnsi="Cambria Math" w:cs="FrankRuehl"/>
              </w:rPr>
              <m:t>τ</m:t>
            </m:r>
          </m:e>
        </m:acc>
      </m:oMath>
      <w:r w:rsidRPr="00302CC6">
        <w:rPr>
          <w:rFonts w:ascii="FrankRuehl" w:eastAsiaTheme="minorEastAsia" w:hAnsi="FrankRuehl" w:cs="FrankRuehl" w:hint="cs"/>
          <w:rtl/>
        </w:rPr>
        <w:t xml:space="preserve">; הראו כי </w:t>
      </w:r>
      <m:oMath>
        <m:r>
          <w:rPr>
            <w:rFonts w:ascii="Cambria Math" w:eastAsiaTheme="minorEastAsia" w:hAnsi="Cambria Math" w:cs="FrankRuehl"/>
          </w:rPr>
          <m:t>Re</m:t>
        </m:r>
        <m:d>
          <m:dPr>
            <m:ctrlPr>
              <w:rPr>
                <w:rFonts w:ascii="Cambria Math" w:eastAsiaTheme="minorEastAsia" w:hAnsi="Cambria Math" w:cs="FrankRuehl"/>
                <w:i/>
              </w:rPr>
            </m:ctrlPr>
          </m:dPr>
          <m:e>
            <m:r>
              <w:rPr>
                <w:rFonts w:ascii="Cambria Math" w:eastAsiaTheme="minorEastAsia" w:hAnsi="Cambria Math" w:cs="FrankRuehl"/>
              </w:rPr>
              <m:t>τ</m:t>
            </m:r>
          </m:e>
        </m:d>
        <m:r>
          <w:rPr>
            <w:rFonts w:ascii="Cambria Math" w:eastAsiaTheme="minorEastAsia" w:hAnsi="Cambria Math" w:cs="FrankRuehl"/>
          </w:rPr>
          <m:t>=</m:t>
        </m:r>
        <m:f>
          <m:fPr>
            <m:ctrlPr>
              <w:rPr>
                <w:rFonts w:ascii="Cambria Math" w:eastAsiaTheme="minorEastAsia" w:hAnsi="Cambria Math" w:cs="FrankRuehl"/>
                <w:i/>
              </w:rPr>
            </m:ctrlPr>
          </m:fPr>
          <m:num>
            <m:r>
              <w:rPr>
                <w:rFonts w:ascii="Cambria Math" w:eastAsiaTheme="minorEastAsia" w:hAnsi="Cambria Math" w:cs="FrankRuehl"/>
              </w:rPr>
              <m:t>1</m:t>
            </m:r>
          </m:num>
          <m:den>
            <m:r>
              <w:rPr>
                <w:rFonts w:ascii="Cambria Math" w:eastAsiaTheme="minorEastAsia" w:hAnsi="Cambria Math" w:cs="FrankRuehl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FrankRuehl"/>
                <w:i/>
              </w:rPr>
            </m:ctrlPr>
          </m:dPr>
          <m:e>
            <m:r>
              <w:rPr>
                <w:rFonts w:ascii="Cambria Math" w:eastAsiaTheme="minorEastAsia" w:hAnsi="Cambria Math" w:cs="FrankRuehl"/>
              </w:rPr>
              <m:t>τ+</m:t>
            </m:r>
            <m:acc>
              <m:accPr>
                <m:chr m:val="̅"/>
                <m:ctrlPr>
                  <w:rPr>
                    <w:rFonts w:ascii="Cambria Math" w:eastAsiaTheme="minorEastAsia" w:hAnsi="Cambria Math" w:cs="FrankRuehl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FrankRuehl"/>
                  </w:rPr>
                  <m:t>τ</m:t>
                </m:r>
              </m:e>
            </m:acc>
          </m:e>
        </m:d>
        <m:r>
          <w:rPr>
            <w:rFonts w:ascii="Cambria Math" w:eastAsiaTheme="minorEastAsia" w:hAnsi="Cambria Math" w:cs="FrankRuehl"/>
          </w:rPr>
          <m:t>=0</m:t>
        </m:r>
      </m:oMath>
      <w:r w:rsidR="00302CC6">
        <w:rPr>
          <w:rFonts w:ascii="FrankRuehl" w:eastAsiaTheme="minorEastAsia" w:hAnsi="FrankRuehl" w:cs="FrankRuehl" w:hint="cs"/>
          <w:rtl/>
        </w:rPr>
        <w:t xml:space="preserve"> (רמז: סכום שורשי היחידה מסדר כלשהו הוא 0</w:t>
      </w:r>
      <w:r w:rsidR="007324B6">
        <w:rPr>
          <w:rFonts w:ascii="FrankRuehl" w:eastAsiaTheme="minorEastAsia" w:hAnsi="FrankRuehl" w:cs="FrankRuehl" w:hint="cs"/>
          <w:rtl/>
        </w:rPr>
        <w:t>; היעזרו בסעיף א')</w:t>
      </w:r>
      <w:r w:rsidRPr="00302CC6">
        <w:rPr>
          <w:rFonts w:ascii="FrankRuehl" w:eastAsiaTheme="minorEastAsia" w:hAnsi="FrankRuehl" w:cs="FrankRuehl" w:hint="cs"/>
          <w:rtl/>
        </w:rPr>
        <w:t>.</w:t>
      </w:r>
    </w:p>
    <w:p w14:paraId="39923FF0" w14:textId="77777777" w:rsidR="00F52CBE" w:rsidRPr="00F52CBE" w:rsidRDefault="00F52CBE" w:rsidP="00F52CBE">
      <w:pPr>
        <w:pStyle w:val="ListParagraph"/>
        <w:rPr>
          <w:rFonts w:ascii="FrankRuehl" w:hAnsi="FrankRuehl" w:cs="FrankRuehl" w:hint="cs"/>
          <w:sz w:val="24"/>
          <w:szCs w:val="24"/>
          <w:rtl/>
        </w:rPr>
      </w:pPr>
    </w:p>
    <w:p w14:paraId="68EAE5D0" w14:textId="2129A921" w:rsidR="00305AD5" w:rsidRPr="007324B6" w:rsidRDefault="007324B6" w:rsidP="007324B6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  <w:rtl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נתונה הרחבת </w:t>
      </w:r>
      <w:proofErr w:type="spellStart"/>
      <w:r>
        <w:rPr>
          <w:rFonts w:ascii="FrankRuehl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L/F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>
        <w:rPr>
          <w:rFonts w:ascii="FrankRuehl" w:hAnsi="FrankRuehl" w:cs="FrankRuehl" w:hint="cs"/>
          <w:sz w:val="24"/>
          <w:szCs w:val="24"/>
          <w:rtl/>
        </w:rPr>
        <w:t xml:space="preserve">מממד 225. יהי 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תת-שדה ביניים של ההרחבה מממד 25.</w:t>
      </w:r>
      <w:r>
        <w:rPr>
          <w:rFonts w:ascii="FrankRuehl" w:eastAsiaTheme="minorEastAsia" w:hAnsi="FrankRuehl" w:cs="FrankRuehl"/>
          <w:sz w:val="24"/>
          <w:szCs w:val="24"/>
          <w:lang w:val="en-GB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  <w:lang w:val="en-GB"/>
        </w:rPr>
        <w:t xml:space="preserve"> ידוע כי </w:t>
      </w:r>
      <m:oMath>
        <m:r>
          <w:rPr>
            <w:rFonts w:ascii="Cambria Math" w:eastAsiaTheme="minorEastAsia" w:hAnsi="Cambria Math" w:cs="FrankRuehl"/>
            <w:sz w:val="24"/>
            <w:szCs w:val="24"/>
            <w:lang w:val="en-GB"/>
          </w:rPr>
          <m:t>K/E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 לאיזה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F⊆E⊂K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תת-שדה ביניים אמ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תי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(המוכל ממש ב-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). הראו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גלואה.</w:t>
      </w:r>
      <w:bookmarkStart w:id="0" w:name="_GoBack"/>
      <w:bookmarkEnd w:id="0"/>
    </w:p>
    <w:sectPr w:rsidR="00305AD5" w:rsidRPr="007324B6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670D"/>
    <w:multiLevelType w:val="hybridMultilevel"/>
    <w:tmpl w:val="0E5AFE26"/>
    <w:lvl w:ilvl="0" w:tplc="C3D45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920FE"/>
    <w:rsid w:val="001927E9"/>
    <w:rsid w:val="001C3392"/>
    <w:rsid w:val="001C775D"/>
    <w:rsid w:val="001F2EB8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6795"/>
    <w:rsid w:val="003E245F"/>
    <w:rsid w:val="003F7A28"/>
    <w:rsid w:val="0040431D"/>
    <w:rsid w:val="00417517"/>
    <w:rsid w:val="00417A99"/>
    <w:rsid w:val="00440627"/>
    <w:rsid w:val="00443D40"/>
    <w:rsid w:val="0045468C"/>
    <w:rsid w:val="00494334"/>
    <w:rsid w:val="004C0C52"/>
    <w:rsid w:val="004C2E00"/>
    <w:rsid w:val="004D231C"/>
    <w:rsid w:val="004E2D1F"/>
    <w:rsid w:val="004F090B"/>
    <w:rsid w:val="00562816"/>
    <w:rsid w:val="0057210B"/>
    <w:rsid w:val="00576237"/>
    <w:rsid w:val="005A3A4D"/>
    <w:rsid w:val="005A4CB7"/>
    <w:rsid w:val="005B6B14"/>
    <w:rsid w:val="005C26F8"/>
    <w:rsid w:val="006055FC"/>
    <w:rsid w:val="00605B8D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3C6C"/>
    <w:rsid w:val="007D4FC2"/>
    <w:rsid w:val="0084575A"/>
    <w:rsid w:val="00850FF0"/>
    <w:rsid w:val="008809E9"/>
    <w:rsid w:val="00891624"/>
    <w:rsid w:val="008A0CF6"/>
    <w:rsid w:val="008A133C"/>
    <w:rsid w:val="008A4B8A"/>
    <w:rsid w:val="008A6A12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90E74"/>
    <w:rsid w:val="00A921B3"/>
    <w:rsid w:val="00A9276B"/>
    <w:rsid w:val="00AD0351"/>
    <w:rsid w:val="00B110FD"/>
    <w:rsid w:val="00B4730E"/>
    <w:rsid w:val="00B501CE"/>
    <w:rsid w:val="00BA1FCC"/>
    <w:rsid w:val="00BB01C4"/>
    <w:rsid w:val="00BD67AF"/>
    <w:rsid w:val="00BE0419"/>
    <w:rsid w:val="00BE1C2A"/>
    <w:rsid w:val="00BE761C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9073E"/>
    <w:rsid w:val="00EA0815"/>
    <w:rsid w:val="00EB7275"/>
    <w:rsid w:val="00ED7CE6"/>
    <w:rsid w:val="00F11552"/>
    <w:rsid w:val="00F319CD"/>
    <w:rsid w:val="00F50FF3"/>
    <w:rsid w:val="00F52CBE"/>
    <w:rsid w:val="00F61324"/>
    <w:rsid w:val="00F63FBB"/>
    <w:rsid w:val="00F65082"/>
    <w:rsid w:val="00F768C6"/>
    <w:rsid w:val="00F8107E"/>
    <w:rsid w:val="00F90C0F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grinfeb</cp:lastModifiedBy>
  <cp:revision>2</cp:revision>
  <dcterms:created xsi:type="dcterms:W3CDTF">2020-11-29T14:15:00Z</dcterms:created>
  <dcterms:modified xsi:type="dcterms:W3CDTF">2020-11-29T14:15:00Z</dcterms:modified>
</cp:coreProperties>
</file>